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shd w:val="clear" w:color="auto" w:fill="FFFFFF"/>
        <w:spacing w:beforeAutospacing="0" w:afterAutospacing="0" w:line="640" w:lineRule="exact"/>
        <w:rPr>
          <w:rFonts w:hint="eastAsia" w:ascii="黑体" w:hAnsi="黑体" w:eastAsia="黑体" w:cs="楷体"/>
          <w:color w:val="auto"/>
          <w:sz w:val="32"/>
          <w:szCs w:val="32"/>
          <w:shd w:val="clear" w:color="auto" w:fill="FFFFFF"/>
        </w:rPr>
      </w:pPr>
      <w:r>
        <w:rPr>
          <w:rFonts w:hint="eastAsia" w:ascii="黑体" w:hAnsi="黑体" w:eastAsia="黑体" w:cs="楷体"/>
          <w:color w:val="auto"/>
          <w:sz w:val="32"/>
          <w:szCs w:val="32"/>
          <w:shd w:val="clear" w:color="auto" w:fill="FFFFFF"/>
        </w:rPr>
        <w:t>附件2</w:t>
      </w:r>
    </w:p>
    <w:p>
      <w:pPr>
        <w:pStyle w:val="4"/>
        <w:widowControl/>
        <w:shd w:val="clear" w:color="auto" w:fill="FFFFFF"/>
        <w:spacing w:beforeAutospacing="0" w:afterAutospacing="0" w:line="640" w:lineRule="exact"/>
        <w:rPr>
          <w:rFonts w:hint="eastAsia" w:ascii="黑体" w:hAnsi="黑体" w:eastAsia="黑体" w:cs="楷体"/>
          <w:color w:val="auto"/>
          <w:sz w:val="32"/>
          <w:szCs w:val="32"/>
          <w:shd w:val="clear" w:color="auto" w:fill="FFFFFF"/>
        </w:rPr>
      </w:pPr>
    </w:p>
    <w:p>
      <w:pPr>
        <w:spacing w:line="560" w:lineRule="exact"/>
        <w:jc w:val="center"/>
        <w:rPr>
          <w:rFonts w:ascii="方正小标宋简体" w:eastAsia="方正小标宋简体"/>
          <w:bCs/>
          <w:color w:val="auto"/>
          <w:sz w:val="44"/>
          <w:szCs w:val="44"/>
        </w:rPr>
      </w:pPr>
      <w:r>
        <w:rPr>
          <w:rFonts w:hint="eastAsia" w:ascii="方正小标宋简体" w:eastAsia="方正小标宋简体"/>
          <w:bCs/>
          <w:color w:val="auto"/>
          <w:sz w:val="44"/>
          <w:szCs w:val="44"/>
        </w:rPr>
        <w:t>四平</w:t>
      </w:r>
      <w:r>
        <w:rPr>
          <w:rFonts w:hint="eastAsia" w:ascii="方正小标宋简体" w:eastAsia="方正小标宋简体"/>
          <w:bCs/>
          <w:color w:val="auto"/>
          <w:sz w:val="44"/>
          <w:szCs w:val="44"/>
          <w:lang w:eastAsia="zh-CN"/>
        </w:rPr>
        <w:t>市民政</w:t>
      </w:r>
      <w:r>
        <w:rPr>
          <w:rFonts w:hint="eastAsia" w:ascii="方正小标宋简体" w:eastAsia="方正小标宋简体"/>
          <w:bCs/>
          <w:color w:val="auto"/>
          <w:sz w:val="44"/>
          <w:szCs w:val="44"/>
        </w:rPr>
        <w:t>局全面推行“三项制度”</w:t>
      </w:r>
    </w:p>
    <w:p>
      <w:pPr>
        <w:spacing w:line="560" w:lineRule="exact"/>
        <w:jc w:val="center"/>
        <w:rPr>
          <w:rFonts w:hint="eastAsia" w:ascii="方正小标宋简体" w:eastAsia="方正小标宋简体"/>
          <w:bCs/>
          <w:color w:val="auto"/>
          <w:sz w:val="44"/>
          <w:szCs w:val="44"/>
        </w:rPr>
      </w:pPr>
      <w:r>
        <w:rPr>
          <w:rFonts w:hint="eastAsia" w:ascii="方正小标宋简体" w:eastAsia="方正小标宋简体"/>
          <w:bCs/>
          <w:color w:val="auto"/>
          <w:sz w:val="44"/>
          <w:szCs w:val="44"/>
        </w:rPr>
        <w:t>工作责任分工表</w:t>
      </w:r>
    </w:p>
    <w:p>
      <w:pPr>
        <w:spacing w:line="560" w:lineRule="exact"/>
        <w:jc w:val="center"/>
        <w:rPr>
          <w:rFonts w:hint="eastAsia" w:ascii="方正小标宋简体" w:eastAsia="方正小标宋简体"/>
          <w:bCs/>
          <w:color w:val="auto"/>
          <w:sz w:val="44"/>
          <w:szCs w:val="44"/>
        </w:rPr>
      </w:pPr>
    </w:p>
    <w:tbl>
      <w:tblPr>
        <w:tblW w:w="934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5"/>
        <w:gridCol w:w="575"/>
        <w:gridCol w:w="2333"/>
        <w:gridCol w:w="4423"/>
        <w:gridCol w:w="1440"/>
      </w:tblGrid>
      <w:tr>
        <w:trPr>
          <w:trHeight w:val="91" w:hRule="atLeast"/>
          <w:tblHeader/>
          <w:jc w:val="center"/>
        </w:trPr>
        <w:tc>
          <w:tcPr>
            <w:tcW w:w="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b/>
                <w:color w:val="auto"/>
                <w:sz w:val="20"/>
                <w:szCs w:val="20"/>
              </w:rPr>
            </w:pPr>
            <w:r>
              <w:rPr>
                <w:rFonts w:hint="eastAsia" w:ascii="仿宋" w:hAnsi="仿宋" w:cs="仿宋"/>
                <w:b/>
                <w:color w:val="auto"/>
                <w:kern w:val="0"/>
                <w:sz w:val="20"/>
                <w:szCs w:val="20"/>
              </w:rPr>
              <w:t>类别</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b/>
                <w:color w:val="auto"/>
                <w:sz w:val="20"/>
                <w:szCs w:val="20"/>
              </w:rPr>
            </w:pPr>
            <w:r>
              <w:rPr>
                <w:rFonts w:hint="eastAsia" w:ascii="仿宋" w:hAnsi="仿宋" w:cs="仿宋"/>
                <w:b/>
                <w:color w:val="auto"/>
                <w:kern w:val="0"/>
                <w:sz w:val="20"/>
                <w:szCs w:val="20"/>
              </w:rPr>
              <w:t>工作任务</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b/>
                <w:color w:val="auto"/>
                <w:sz w:val="20"/>
                <w:szCs w:val="20"/>
              </w:rPr>
            </w:pPr>
            <w:r>
              <w:rPr>
                <w:rFonts w:hint="eastAsia" w:ascii="仿宋" w:hAnsi="仿宋" w:cs="仿宋"/>
                <w:b/>
                <w:color w:val="auto"/>
                <w:kern w:val="0"/>
                <w:sz w:val="20"/>
                <w:szCs w:val="20"/>
              </w:rPr>
              <w:t>具体措施</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b/>
                <w:color w:val="auto"/>
                <w:sz w:val="20"/>
                <w:szCs w:val="20"/>
              </w:rPr>
            </w:pPr>
            <w:r>
              <w:rPr>
                <w:rFonts w:hint="eastAsia" w:ascii="仿宋" w:hAnsi="仿宋" w:cs="仿宋"/>
                <w:b/>
                <w:color w:val="auto"/>
                <w:kern w:val="0"/>
                <w:sz w:val="20"/>
                <w:szCs w:val="20"/>
              </w:rPr>
              <w:t>具体任务要求</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b/>
                <w:color w:val="auto"/>
                <w:sz w:val="20"/>
                <w:szCs w:val="20"/>
              </w:rPr>
            </w:pPr>
            <w:r>
              <w:rPr>
                <w:rFonts w:hint="eastAsia" w:ascii="仿宋" w:hAnsi="仿宋" w:cs="仿宋"/>
                <w:b/>
                <w:color w:val="auto"/>
                <w:kern w:val="0"/>
                <w:sz w:val="20"/>
                <w:szCs w:val="20"/>
              </w:rPr>
              <w:t>责任科室</w:t>
            </w:r>
          </w:p>
        </w:tc>
      </w:tr>
      <w:tr>
        <w:trPr>
          <w:trHeight w:val="554" w:hRule="exact"/>
          <w:jc w:val="center"/>
        </w:trPr>
        <w:tc>
          <w:tcPr>
            <w:tcW w:w="575"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全面推行行政执法公示制度</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制定公示制度</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1.制定本级政府（部门）行政执法公示制度</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明确公示内容的范围、载体以及信息的采集、传递、审核、发布、更新等内容。</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办公室</w:t>
            </w:r>
          </w:p>
        </w:tc>
      </w:tr>
      <w:tr>
        <w:trPr>
          <w:trHeight w:val="704" w:hRule="exac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信息公开形式</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2.建立健全统一的执法信息公示平台</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主动全面准确及时地通过政府（部门）网站、政府新媒体、政务（办事）大厅公示栏、服务窗口等平台向社会公开行政执法基本信息、结果信息。</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sz w:val="16"/>
                <w:szCs w:val="20"/>
              </w:rPr>
              <w:t>机关各科室、民间组织管理局</w:t>
            </w:r>
          </w:p>
        </w:tc>
      </w:tr>
      <w:tr>
        <w:trPr>
          <w:trHeight w:val="544" w:hRule="exac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强化事前公开</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仿宋" w:hAnsi="仿宋" w:cs="仿宋"/>
                <w:color w:val="auto"/>
                <w:sz w:val="16"/>
                <w:szCs w:val="20"/>
              </w:rPr>
            </w:pPr>
            <w:r>
              <w:rPr>
                <w:rFonts w:hint="eastAsia" w:ascii="仿宋" w:hAnsi="仿宋" w:cs="仿宋"/>
                <w:color w:val="auto"/>
                <w:kern w:val="0"/>
                <w:sz w:val="16"/>
                <w:szCs w:val="20"/>
              </w:rPr>
              <w:t>3.编制行政执法事项清单</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全面准确及时主动公开行政执法主体、执法人员、职责、权限、依据和救济渠道等内容。</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sz w:val="16"/>
                <w:szCs w:val="20"/>
              </w:rPr>
              <w:t>办公室</w:t>
            </w:r>
          </w:p>
        </w:tc>
      </w:tr>
      <w:tr>
        <w:trPr>
          <w:trHeight w:val="694" w:hRule="exac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textAlignment w:val="center"/>
              <w:rPr>
                <w:rFonts w:ascii="仿宋" w:hAnsi="仿宋" w:cs="仿宋"/>
                <w:color w:val="auto"/>
                <w:sz w:val="16"/>
                <w:szCs w:val="20"/>
              </w:rPr>
            </w:pPr>
            <w:r>
              <w:rPr>
                <w:rFonts w:hint="eastAsia" w:ascii="仿宋" w:hAnsi="仿宋" w:cs="仿宋"/>
                <w:color w:val="auto"/>
                <w:kern w:val="0"/>
                <w:sz w:val="16"/>
                <w:szCs w:val="20"/>
              </w:rPr>
              <w:t>4.编制随机抽查事项清单</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明确抽查主体、抽查依据、抽查内容、抽查方式等，完善行政执法检查对象名录库和执法检查人员名录库。</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sz w:val="16"/>
                <w:szCs w:val="20"/>
              </w:rPr>
              <w:t>机关各科室、民间组织管理局</w:t>
            </w:r>
          </w:p>
        </w:tc>
      </w:tr>
      <w:tr>
        <w:trPr>
          <w:trHeight w:val="546" w:hRule="exac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5.完善行政执法人员数据库</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明确执法人员单位、姓名、证件编号、执法类别、执法区域等内容。</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sz w:val="16"/>
                <w:szCs w:val="20"/>
              </w:rPr>
              <w:t>办公室</w:t>
            </w:r>
          </w:p>
        </w:tc>
      </w:tr>
      <w:tr>
        <w:trPr>
          <w:trHeight w:val="554" w:hRule="exac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6.编制本部门执法流程图、服务指南</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明确执法事项名称、受理机构、受理条件、审批机构、审批程序、办理时限等内容。</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sz w:val="16"/>
                <w:szCs w:val="20"/>
              </w:rPr>
              <w:t>机关各科室、民间组织管理局</w:t>
            </w:r>
          </w:p>
        </w:tc>
      </w:tr>
      <w:tr>
        <w:trPr>
          <w:trHeight w:val="1309" w:hRule="exac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规范事中公示</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7.执法时出示证件、主动表明身份</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仿宋" w:hAnsi="仿宋" w:cs="仿宋"/>
                <w:color w:val="auto"/>
                <w:sz w:val="16"/>
                <w:szCs w:val="20"/>
              </w:rPr>
            </w:pPr>
            <w:r>
              <w:rPr>
                <w:rFonts w:hint="eastAsia" w:ascii="仿宋" w:hAnsi="仿宋" w:cs="仿宋"/>
                <w:color w:val="auto"/>
                <w:kern w:val="0"/>
                <w:sz w:val="16"/>
                <w:szCs w:val="20"/>
              </w:rPr>
              <w:t>严格执行2人以上执法规定，主动出示执法证件、表明身份，允许当事人和利害关系人扫描行政执法证件二维码，对行政执法人员身份信息进行识别和储存。使用国务院有关部门颁发的行政执法证件要经本级司法行政部门备案。</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sz w:val="16"/>
                <w:szCs w:val="20"/>
              </w:rPr>
              <w:t>机关各科室、民间组织管理局</w:t>
            </w:r>
          </w:p>
        </w:tc>
      </w:tr>
      <w:tr>
        <w:trPr>
          <w:trHeight w:val="1021" w:hRule="atLeas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8.在执法活动中按规定出具执法文书</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执法活动中要出示执法文书，主动告知当事人执法事由、执法依据以及当事人依法享有陈述、申辩、听证、救济等权利义务，表明执法行为的合法性和正当性。</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sz w:val="16"/>
                <w:szCs w:val="20"/>
              </w:rPr>
              <w:t>机关各科室、民间组织管理局</w:t>
            </w:r>
          </w:p>
        </w:tc>
      </w:tr>
      <w:tr>
        <w:trPr>
          <w:trHeight w:val="809" w:hRule="atLeas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9.行政执法机关的政务服务窗口要设置岗位信息公示牌</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明示工作人员所属单位、姓名、职务、岗位职责、申请材料示范文本、办理进度查询、咨询服务、投诉举报等信息。</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sz w:val="16"/>
                <w:szCs w:val="20"/>
              </w:rPr>
              <w:t>行政审批办公室</w:t>
            </w:r>
          </w:p>
        </w:tc>
      </w:tr>
      <w:tr>
        <w:trPr>
          <w:trHeight w:val="1383" w:hRule="atLeas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加强事后公开</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10.公布行政执法决定等执法结论信息</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行政执法部门要在执法决定</w:t>
            </w:r>
            <w:r>
              <w:rPr>
                <w:rFonts w:hint="eastAsia" w:ascii="仿宋" w:hAnsi="仿宋" w:cs="仿宋"/>
                <w:color w:val="auto"/>
                <w:kern w:val="0"/>
                <w:sz w:val="16"/>
                <w:szCs w:val="20"/>
                <w:lang w:eastAsia="zh-CN"/>
              </w:rPr>
              <w:t>做出</w:t>
            </w:r>
            <w:r>
              <w:rPr>
                <w:rFonts w:hint="eastAsia" w:ascii="仿宋" w:hAnsi="仿宋" w:cs="仿宋"/>
                <w:color w:val="auto"/>
                <w:kern w:val="0"/>
                <w:sz w:val="16"/>
                <w:szCs w:val="20"/>
              </w:rPr>
              <w:t>之日起20个工作日内，向社会公布执法机关、执法对象、执法类别、执法结论等信息，接受社会监督，行政许可、行政处罚的执法决定信息要在执法决定作出之日起7个工作日内公开，但法律、行政法规另有规定的除外。</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sz w:val="16"/>
                <w:szCs w:val="20"/>
              </w:rPr>
              <w:t>机关各科室、民间组织管理局</w:t>
            </w:r>
          </w:p>
        </w:tc>
      </w:tr>
      <w:tr>
        <w:trPr>
          <w:trHeight w:val="666" w:hRule="atLeas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11.建立健全执法决定信息公开发布、撤销和更新机制</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已公开的行政执法决定被依法撤销、确认违法或者要求重新作出的，应当及时从信息公示平台撤下原行政执法决定信息。</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sz w:val="16"/>
                <w:szCs w:val="20"/>
              </w:rPr>
              <w:t>机关各科室、民间组织管理局</w:t>
            </w:r>
          </w:p>
        </w:tc>
      </w:tr>
      <w:tr>
        <w:trPr>
          <w:trHeight w:val="991" w:hRule="atLeast"/>
          <w:jc w:val="center"/>
        </w:trPr>
        <w:tc>
          <w:tcPr>
            <w:tcW w:w="575"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12.建立行政执法统计年报制度</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Style w:val="6"/>
                <w:rFonts w:hint="default"/>
                <w:color w:val="auto"/>
                <w:sz w:val="16"/>
              </w:rPr>
              <w:t>行政执法部门要将行政执法总体情况和执法数据信息于每年1月31日前上报市司法行政部门。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sz w:val="16"/>
                <w:szCs w:val="20"/>
              </w:rPr>
              <w:t>机关各科室、民间组织管理局</w:t>
            </w:r>
          </w:p>
        </w:tc>
      </w:tr>
      <w:tr>
        <w:trPr>
          <w:trHeight w:val="1274" w:hRule="atLeast"/>
          <w:jc w:val="center"/>
        </w:trPr>
        <w:tc>
          <w:tcPr>
            <w:tcW w:w="575"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全面推行执法全过程记录制度</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建立行政执法全过程记录制度</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13.制定本级部门行政执法全过程记录制度</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明确执法信息采集、存储、分析、归档等方面内容，行政执法全过程记录要合法、客观、公正、准确，做到执法全过程留痕和可回溯管理。</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办公室</w:t>
            </w:r>
          </w:p>
        </w:tc>
      </w:tr>
      <w:tr>
        <w:trPr>
          <w:trHeight w:val="674" w:hRule="atLeas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完善文字记录</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14.制定规范执法用语和执法文书制作指引</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使用省级各行政执法部门的执法规范用语和执法文书制作指引，并组织所属行政执法人员学习和运用。</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sz w:val="16"/>
                <w:szCs w:val="20"/>
              </w:rPr>
              <w:t>办公室</w:t>
            </w:r>
          </w:p>
        </w:tc>
      </w:tr>
      <w:tr>
        <w:trPr>
          <w:trHeight w:val="897" w:hRule="atLeas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15.制定行政执法文书基本格式标准</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使用省级各行政执法部门的执法文书格式标准，完善行政执法文书格式，做到文字记录合法规范、客观全面、及时准确，执法案卷和执法文书要素齐备、填写规范、归档完整。</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办公室</w:t>
            </w:r>
          </w:p>
        </w:tc>
      </w:tr>
      <w:tr>
        <w:trPr>
          <w:trHeight w:val="897" w:hRule="atLeas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规范音像记录</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仿宋" w:hAnsi="仿宋" w:cs="仿宋"/>
                <w:color w:val="auto"/>
                <w:sz w:val="16"/>
                <w:szCs w:val="20"/>
              </w:rPr>
            </w:pPr>
            <w:r>
              <w:rPr>
                <w:rFonts w:hint="eastAsia" w:ascii="仿宋" w:hAnsi="仿宋" w:cs="仿宋"/>
                <w:color w:val="auto"/>
                <w:kern w:val="0"/>
                <w:sz w:val="16"/>
                <w:szCs w:val="20"/>
              </w:rPr>
              <w:t>16.编制音像记录事项清单</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使用省级各行政执法部门统一的音像记录事项清单，明确记录的重点、标准和程序，指导执法人员规范文明开展音像记录。</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办公室</w:t>
            </w:r>
          </w:p>
        </w:tc>
      </w:tr>
      <w:tr>
        <w:trPr>
          <w:trHeight w:val="90" w:hRule="atLeas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仿宋" w:hAnsi="仿宋" w:cs="仿宋"/>
                <w:color w:val="auto"/>
                <w:sz w:val="16"/>
                <w:szCs w:val="20"/>
              </w:rPr>
            </w:pPr>
            <w:r>
              <w:rPr>
                <w:rFonts w:hint="eastAsia" w:ascii="仿宋" w:hAnsi="仿宋" w:cs="仿宋"/>
                <w:color w:val="auto"/>
                <w:kern w:val="0"/>
                <w:sz w:val="16"/>
                <w:szCs w:val="20"/>
              </w:rPr>
              <w:t>17.编制执法行为用语指引</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使用省级各行政执法部门统一执法行为用语指引，规范文明开展音像记录。</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办公室</w:t>
            </w:r>
          </w:p>
        </w:tc>
      </w:tr>
      <w:tr>
        <w:trPr>
          <w:trHeight w:val="1132" w:hRule="atLeast"/>
          <w:jc w:val="center"/>
        </w:trPr>
        <w:tc>
          <w:tcPr>
            <w:tcW w:w="575"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严格记录归档</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仿宋" w:hAnsi="仿宋" w:cs="仿宋"/>
                <w:color w:val="auto"/>
                <w:sz w:val="16"/>
                <w:szCs w:val="20"/>
              </w:rPr>
            </w:pPr>
            <w:r>
              <w:rPr>
                <w:rFonts w:hint="eastAsia" w:ascii="仿宋" w:hAnsi="仿宋" w:cs="仿宋"/>
                <w:color w:val="auto"/>
                <w:kern w:val="0"/>
                <w:sz w:val="16"/>
                <w:szCs w:val="20"/>
              </w:rPr>
              <w:t>18.完善执法案卷管理制度</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加强对执法台账和法律文书的制作、使用、管理，要确定专人保管，按照有关法律法规和档案管理规定归档保存执法全过程记录资料，确保所有行政执法行为有据可查。</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sz w:val="16"/>
                <w:szCs w:val="20"/>
              </w:rPr>
              <w:t>机关各科室、民间组织管理局</w:t>
            </w:r>
          </w:p>
        </w:tc>
      </w:tr>
      <w:tr>
        <w:trPr>
          <w:trHeight w:val="1389" w:hRule="atLeast"/>
          <w:jc w:val="center"/>
        </w:trPr>
        <w:tc>
          <w:tcPr>
            <w:tcW w:w="575"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全面推行重大执法决定法制审核制度</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建立重大行政执法决定法制审核制度</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19.制定本级政府（部门）重大执法决定法制审核制度</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行政执法部门作出重大执法决定前，要严格进行法制审核，未经法制审核或者审核未通过的，不得作出决定。要建立健全重大行政执法决定法制审核制度，实现重大行政执法决定法制审核规范化、制度化，法制审核执行率100%。</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办公室</w:t>
            </w:r>
          </w:p>
        </w:tc>
      </w:tr>
      <w:tr>
        <w:trPr>
          <w:trHeight w:val="1608" w:hRule="atLeas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落实审核主体</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20.明确审核机构</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各级政府作出的重大行政执法决定，由承办部门的法制机构审核后，上报本级政府司法行政部门审核。各级行政执法部门作出的重大执法决定由其内设的法制机构负责法制审核，受委托组织在委托范围内作出重大执法决定，由委托机关的法制审核机构进行审核。</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办公室</w:t>
            </w:r>
          </w:p>
        </w:tc>
      </w:tr>
      <w:tr>
        <w:trPr>
          <w:trHeight w:val="1093" w:hRule="atLeas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21.按要求配备法制审核人员</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加强法制审核队伍的正规化、专业化、职业化建设，配强工作力量，使法制审核人员的配置与形势任务相适应，原则上各级行政执法部门的法制审核人员不少于本单位执法人员总数的5%。</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办公室</w:t>
            </w:r>
          </w:p>
        </w:tc>
      </w:tr>
      <w:tr>
        <w:trPr>
          <w:trHeight w:val="1147" w:hRule="atLeast"/>
          <w:jc w:val="center"/>
        </w:trPr>
        <w:tc>
          <w:tcPr>
            <w:tcW w:w="575" w:type="dxa"/>
            <w:vMerge w:val="continue"/>
            <w:tcBorders>
              <w:top w:val="single" w:color="auto" w:sz="4" w:space="0"/>
              <w:left w:val="single" w:color="000000" w:sz="4" w:space="0"/>
              <w:bottom w:val="single" w:color="auto"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continue"/>
            <w:tcBorders>
              <w:left w:val="single" w:color="000000" w:sz="4" w:space="0"/>
              <w:bottom w:val="single" w:color="auto" w:sz="4" w:space="0"/>
              <w:right w:val="single" w:color="000000" w:sz="4" w:space="0"/>
            </w:tcBorders>
            <w:vAlign w:val="center"/>
          </w:tcPr>
          <w:p>
            <w:pPr>
              <w:spacing w:line="240" w:lineRule="exact"/>
              <w:jc w:val="center"/>
              <w:rPr>
                <w:rFonts w:ascii="仿宋" w:hAnsi="仿宋" w:cs="仿宋"/>
                <w:color w:val="auto"/>
                <w:sz w:val="16"/>
                <w:szCs w:val="20"/>
              </w:rPr>
            </w:pPr>
          </w:p>
        </w:tc>
        <w:tc>
          <w:tcPr>
            <w:tcW w:w="2333"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22.建立健全法律顾问和公职律师参与法制审核工作的制度</w:t>
            </w:r>
          </w:p>
        </w:tc>
        <w:tc>
          <w:tcPr>
            <w:tcW w:w="4423"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发挥法律顾问、公职律师在法制审核中的作用，探索建立健全本系统内法律顾问、公职律师统筹调用机制，实现法律专业人才资源共享。</w:t>
            </w:r>
          </w:p>
        </w:tc>
        <w:tc>
          <w:tcPr>
            <w:tcW w:w="1440"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办公室</w:t>
            </w:r>
          </w:p>
        </w:tc>
      </w:tr>
      <w:tr>
        <w:trPr>
          <w:trHeight w:val="1557" w:hRule="atLeast"/>
          <w:jc w:val="center"/>
        </w:trPr>
        <w:tc>
          <w:tcPr>
            <w:tcW w:w="575" w:type="dxa"/>
            <w:vMerge w:val="restart"/>
            <w:tcBorders>
              <w:top w:val="single" w:color="auto" w:sz="4" w:space="0"/>
              <w:left w:val="single" w:color="000000" w:sz="4" w:space="0"/>
              <w:right w:val="single" w:color="000000" w:sz="4" w:space="0"/>
            </w:tcBorders>
            <w:vAlign w:val="center"/>
          </w:tcPr>
          <w:p>
            <w:pPr>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全面推行重大执法决定法制审核制度</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明确审核范围</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23.编制重大执法决定法制审核目录清单</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各级行政执法部门要结合行政执法行为的类别、执法层级、所属领域、涉案金额、社会影响等因素，制定重大执法决定法制审核目录清单。凡涉及重大公共利益，可能造成重大社会影响或引发社会风险，直接关系行政相对人或者第三人重大权益，经过听证程序作出行政执法决定，以及案件情况疑难复杂、涉及多个法律关系的，都应必须进行法制审核。</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办公室</w:t>
            </w:r>
          </w:p>
        </w:tc>
      </w:tr>
      <w:tr>
        <w:trPr>
          <w:trHeight w:val="1654" w:hRule="atLeas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明确审核内容</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24.编制重大执法决定法制审核内容清单</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明确审核内容，严格审核行政执法主体是否合法，行政执法人员是否具备执法资格；行政执法程序是否合法；案件事实是否清楚，证据是否合法充分；适用法律、法规、规章是否准确，裁量基准运用是否适当；执法是否超越执法机关法定权限；行政执法文书是否完备、规范；违法行为是否涉嫌犯罪、需要移送司法机关等。</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办公室</w:t>
            </w:r>
          </w:p>
        </w:tc>
      </w:tr>
      <w:tr>
        <w:trPr>
          <w:trHeight w:val="955" w:hRule="atLeast"/>
          <w:jc w:val="center"/>
        </w:trPr>
        <w:tc>
          <w:tcPr>
            <w:tcW w:w="575"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明确审核责任</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25.编制法制审核工作流程图</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明确送审材料的具体种类和报送要求，以及审核的方式、时限、运行机制等，要建立健全法制审核机构与行政执法承办机构对审核意见不一致时的协调机制。</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办公室</w:t>
            </w:r>
          </w:p>
        </w:tc>
      </w:tr>
      <w:tr>
        <w:trPr>
          <w:trHeight w:val="964"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全面推进行政执法信息化建设</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加强信息化平台建设</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26.推进行政执法信息化建设</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各行政执法部门要依托大数据平台，大力推进行政执法管理监督信息系统建设，切实提升优质高效便民政务服务。</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办公室</w:t>
            </w:r>
          </w:p>
        </w:tc>
      </w:tr>
      <w:tr>
        <w:trPr>
          <w:trHeight w:val="808"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推进信息共享</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27.完善执法数据汇集和信息共享</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制定统一规范的执法数据标准，明确执法信息共享的种类、范围、流程和使用方式。充分利用吉林省一体化在线政务服务平台，实现数据共享互通。</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sz w:val="16"/>
                <w:szCs w:val="20"/>
              </w:rPr>
              <w:t>机关各科室、民间组织管理局</w:t>
            </w:r>
          </w:p>
        </w:tc>
      </w:tr>
      <w:tr>
        <w:trPr>
          <w:trHeight w:val="1091" w:hRule="atLeast"/>
          <w:jc w:val="center"/>
        </w:trPr>
        <w:tc>
          <w:tcPr>
            <w:tcW w:w="575"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加大组织保障力度</w:t>
            </w:r>
          </w:p>
        </w:tc>
        <w:tc>
          <w:tcPr>
            <w:tcW w:w="575"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加强组织领导</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28.成立组织机构，加大领导力度</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各级政府及其部门的主要负责人是本地区、本部门全面推行“三项制度”工作的第一责任人，要成立领导小组，及时调度情况和研究解决重大问题，做好“三项制度”组织实施工作。</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sz w:val="16"/>
                <w:szCs w:val="20"/>
              </w:rPr>
              <w:t>机关各科室、民间组织管理局</w:t>
            </w:r>
          </w:p>
        </w:tc>
      </w:tr>
      <w:tr>
        <w:trPr>
          <w:trHeight w:val="1281" w:hRule="atLeas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29.加强对上的沟通联系及对下的督促指导</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各行政执法部门要加强与省政府部门的沟通联系，强化行业规范和标准统一，及时研究解决本部门、本系统全面推行“三项制度”过程中遇到的问题。要切实做到率先推行、以上带下，充分发挥在行业系统中的带动引领作用，指导、督促下级部门严格规范实施“三项制度”。</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sz w:val="16"/>
                <w:szCs w:val="20"/>
              </w:rPr>
              <w:t>机关各科室、民间组织管理局</w:t>
            </w:r>
          </w:p>
        </w:tc>
      </w:tr>
      <w:tr>
        <w:trPr>
          <w:trHeight w:val="1093" w:hRule="atLeas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加强督促检查</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30.建立“三项制度”</w:t>
            </w:r>
            <w:r>
              <w:rPr>
                <w:rFonts w:hint="eastAsia" w:ascii="仿宋" w:hAnsi="仿宋" w:cs="仿宋"/>
                <w:color w:val="auto"/>
                <w:kern w:val="0"/>
                <w:sz w:val="16"/>
                <w:szCs w:val="20"/>
                <w:lang w:eastAsia="zh-CN"/>
              </w:rPr>
              <w:t>督察</w:t>
            </w:r>
            <w:r>
              <w:rPr>
                <w:rFonts w:hint="eastAsia" w:ascii="仿宋" w:hAnsi="仿宋" w:cs="仿宋"/>
                <w:color w:val="auto"/>
                <w:kern w:val="0"/>
                <w:sz w:val="16"/>
                <w:szCs w:val="20"/>
              </w:rPr>
              <w:t>情况通报制度</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把“三项制度”推进情况纳入依法行政考核和部门的绩效考评，建立</w:t>
            </w:r>
            <w:r>
              <w:rPr>
                <w:rFonts w:hint="eastAsia" w:ascii="仿宋" w:hAnsi="仿宋" w:cs="仿宋"/>
                <w:color w:val="auto"/>
                <w:kern w:val="0"/>
                <w:sz w:val="16"/>
                <w:szCs w:val="20"/>
                <w:lang w:eastAsia="zh-CN"/>
              </w:rPr>
              <w:t>督察</w:t>
            </w:r>
            <w:r>
              <w:rPr>
                <w:rFonts w:hint="eastAsia" w:ascii="仿宋" w:hAnsi="仿宋" w:cs="仿宋"/>
                <w:color w:val="auto"/>
                <w:kern w:val="0"/>
                <w:sz w:val="16"/>
                <w:szCs w:val="20"/>
              </w:rPr>
              <w:t>情况通报制度。对工作不力的要及时督促整改，对工作中出现问题造成不良后果的单位及人员要通报批评，依纪依法问责。</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sz w:val="16"/>
                <w:szCs w:val="20"/>
              </w:rPr>
              <w:t>机关各科室、民间组织管理局</w:t>
            </w:r>
          </w:p>
        </w:tc>
      </w:tr>
      <w:tr>
        <w:trPr>
          <w:trHeight w:val="842" w:hRule="atLeast"/>
          <w:jc w:val="center"/>
        </w:trPr>
        <w:tc>
          <w:tcPr>
            <w:tcW w:w="575" w:type="dxa"/>
            <w:vMerge w:val="continue"/>
            <w:tcBorders>
              <w:left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保障经费投入</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31.建立经费保障机制</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行政执法经费统一纳入财政预算予以保障，各行政执法部门要分类制定执法装备配备标准、装备配备规划、设施建设规划和年度实施计划，报本级财政部门批准后实施。</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办公室</w:t>
            </w:r>
          </w:p>
        </w:tc>
      </w:tr>
      <w:tr>
        <w:trPr>
          <w:trHeight w:val="938" w:hRule="atLeast"/>
          <w:jc w:val="center"/>
        </w:trPr>
        <w:tc>
          <w:tcPr>
            <w:tcW w:w="575"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ascii="仿宋" w:hAnsi="仿宋" w:cs="仿宋"/>
                <w:color w:val="auto"/>
                <w:sz w:val="16"/>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加强队伍建设</w:t>
            </w:r>
          </w:p>
        </w:tc>
        <w:tc>
          <w:tcPr>
            <w:tcW w:w="233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32.加强队伍建设</w:t>
            </w:r>
          </w:p>
        </w:tc>
        <w:tc>
          <w:tcPr>
            <w:tcW w:w="4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要切实加强行政执法队伍建设，对推行“三项制度”进行专题培训，着力提升执法人员业务能力和执法素养，打造政治坚定、作风优良、纪律严明、廉洁务实的执法队伍。</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 w:hAnsi="仿宋" w:cs="仿宋"/>
                <w:color w:val="auto"/>
                <w:kern w:val="0"/>
                <w:sz w:val="16"/>
                <w:szCs w:val="20"/>
              </w:rPr>
            </w:pPr>
            <w:r>
              <w:rPr>
                <w:rFonts w:hint="eastAsia" w:ascii="仿宋" w:hAnsi="仿宋" w:cs="仿宋"/>
                <w:color w:val="auto"/>
                <w:kern w:val="0"/>
                <w:sz w:val="16"/>
                <w:szCs w:val="20"/>
              </w:rPr>
              <w:t>各县（市区）</w:t>
            </w:r>
          </w:p>
          <w:p>
            <w:pPr>
              <w:widowControl/>
              <w:spacing w:line="200" w:lineRule="exact"/>
              <w:jc w:val="center"/>
              <w:textAlignment w:val="center"/>
              <w:rPr>
                <w:rFonts w:ascii="仿宋" w:hAnsi="仿宋" w:cs="仿宋"/>
                <w:color w:val="auto"/>
                <w:kern w:val="0"/>
                <w:sz w:val="16"/>
                <w:szCs w:val="20"/>
              </w:rPr>
            </w:pPr>
            <w:r>
              <w:rPr>
                <w:rFonts w:hint="eastAsia" w:ascii="仿宋" w:hAnsi="仿宋" w:cs="仿宋"/>
                <w:color w:val="auto"/>
                <w:kern w:val="0"/>
                <w:sz w:val="16"/>
                <w:szCs w:val="20"/>
              </w:rPr>
              <w:t>市司法局</w:t>
            </w:r>
          </w:p>
          <w:p>
            <w:pPr>
              <w:widowControl/>
              <w:spacing w:line="200" w:lineRule="exact"/>
              <w:jc w:val="center"/>
              <w:textAlignment w:val="center"/>
              <w:rPr>
                <w:rFonts w:ascii="仿宋" w:hAnsi="仿宋" w:cs="仿宋"/>
                <w:color w:val="auto"/>
                <w:sz w:val="16"/>
                <w:szCs w:val="20"/>
              </w:rPr>
            </w:pPr>
            <w:r>
              <w:rPr>
                <w:rFonts w:hint="eastAsia" w:ascii="仿宋" w:hAnsi="仿宋" w:cs="仿宋"/>
                <w:color w:val="auto"/>
                <w:kern w:val="0"/>
                <w:sz w:val="16"/>
                <w:szCs w:val="20"/>
              </w:rPr>
              <w:t>市直各行政执法部门</w:t>
            </w:r>
          </w:p>
        </w:tc>
      </w:tr>
    </w:tbl>
    <w:p/>
    <w:sectPr>
      <w:headerReference r:id="rId4" w:type="default"/>
      <w:footerReference r:id="rId6" w:type="default"/>
      <w:headerReference r:id="rId5" w:type="even"/>
      <w:footerReference r:id="rId7" w:type="even"/>
      <w:pgSz w:w="11906" w:h="16838"/>
      <w:pgMar w:top="2098" w:right="1474" w:bottom="1417" w:left="1587" w:header="851" w:footer="992" w:gutter="0"/>
      <w:pgNumType w:fmt="decimal"/>
      <w:cols w:space="720" w:num="1"/>
      <w:docGrid w:type="lines" w:linePitch="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altName w:val="仿宋_GB2312"/>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方正书宋_GBK">
    <w:altName w:val="宋体"/>
    <w:panose1 w:val="02000000000000000000"/>
    <w:charset w:val="86"/>
    <w:family w:val="auto"/>
    <w:pitch w:val="default"/>
    <w:sig w:usb0="00000001" w:usb1="08000000" w:usb2="00000000" w:usb3="00000000" w:csb0="00040000" w:csb1="00000000"/>
  </w:font>
  <w:font w:name="DejaVu Sans">
    <w:altName w:val="NumberOnly"/>
    <w:panose1 w:val="020B0603030804020204"/>
    <w:charset w:val="00"/>
    <w:family w:val="auto"/>
    <w:pitch w:val="default"/>
    <w:sig w:usb0="E7006EFF" w:usb1="D200FDFF" w:usb2="0A246029" w:usb3="0400200C" w:csb0="600001FF" w:csb1="DFFF0000"/>
  </w:font>
  <w:font w:name="方正仿宋_GBK">
    <w:altName w:val="Arial Unicode MS"/>
    <w:panose1 w:val="02000000000000000000"/>
    <w:charset w:val="86"/>
    <w:family w:val="auto"/>
    <w:pitch w:val="default"/>
    <w:sig w:usb0="00000001" w:usb1="08000000" w:usb2="00000000" w:usb3="00000000" w:csb0="00040000" w:csb1="00000000"/>
  </w:font>
  <w:font w:name="方正黑体_GBK">
    <w:altName w:val="黑体"/>
    <w:panose1 w:val="02000000000000000000"/>
    <w:charset w:val="86"/>
    <w:family w:val="auto"/>
    <w:pitch w:val="default"/>
    <w:sig w:usb0="00000001" w:usb1="08000000" w:usb2="00000000" w:usb3="00000000" w:csb0="00040000" w:csb1="00000000"/>
  </w:font>
  <w:font w:name="方正楷体_GBK">
    <w:altName w:val="楷体_GB2312"/>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umberOnly">
    <w:panose1 w:val="020B0500000000000000"/>
    <w:charset w:val="00"/>
    <w:family w:val="auto"/>
    <w:pitch w:val="default"/>
    <w:sig w:usb0="8000002F" w:usb1="10000048" w:usb2="00000000" w:usb3="00000000" w:csb0="00000111" w:csb1="4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仿宋" w:cs="黑体"/>
        <w:kern w:val="2"/>
        <w:sz w:val="18"/>
        <w:szCs w:val="24"/>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仿宋" w:cs="黑体"/>
        <w:kern w:val="2"/>
        <w:sz w:val="18"/>
        <w:szCs w:val="24"/>
        <w:lang w:val="en-US" w:eastAsia="zh-CN" w:bidi="ar-SA"/>
      </w:rPr>
      <w:pict>
        <v:shape id="文本框2"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evenAndOddHeaders w:val="1"/>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Times New Roman" w:hAnsi="Times New Roman" w:eastAsia="仿宋" w:cs="黑体"/>
      <w:kern w:val="2"/>
      <w:sz w:val="32"/>
      <w:szCs w:val="24"/>
      <w:lang w:val="en-US" w:eastAsia="zh-CN" w:bidi="ar-SA"/>
    </w:rPr>
  </w:style>
  <w:style w:type="character" w:default="1" w:styleId="5">
    <w:name w:val="Default Paragraph Font"/>
    <w:unhideWhenUsed/>
    <w:uiPriority w:val="0"/>
  </w:style>
  <w:style w:type="paragraph" w:styleId="2">
    <w:name w:val="footer"/>
    <w:basedOn w:val="1"/>
    <w:semiHidden/>
    <w:unhideWhenUsed/>
    <w:uiPriority w:val="0"/>
    <w:pPr>
      <w:tabs>
        <w:tab w:val="center" w:pos="4153"/>
        <w:tab w:val="right" w:pos="8306"/>
      </w:tabs>
      <w:snapToGrid w:val="0"/>
      <w:jc w:val="left"/>
    </w:pPr>
    <w:rPr>
      <w:sz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semiHidden/>
    <w:unhideWhenUsed/>
    <w:uiPriority w:val="99"/>
    <w:pPr>
      <w:spacing w:beforeAutospacing="1" w:afterAutospacing="1"/>
      <w:jc w:val="left"/>
    </w:pPr>
    <w:rPr>
      <w:rFonts w:cs="Times New Roman"/>
      <w:kern w:val="0"/>
      <w:sz w:val="24"/>
    </w:rPr>
  </w:style>
  <w:style w:type="character" w:customStyle="1" w:styleId="6">
    <w:name w:val="font51"/>
    <w:basedOn w:val="5"/>
    <w:qFormat/>
    <w:uiPriority w:val="0"/>
    <w:rPr>
      <w:rFonts w:hint="eastAsia" w:ascii="仿宋" w:hAnsi="仿宋" w:eastAsia="仿宋" w:cs="仿宋"/>
      <w:color w:val="333333"/>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2022-06-23T09:40:35Z</dcterms:created>
  <cp:lastModifiedBy>Administrator</cp:lastModifiedBy>
  <dcterms:modified xsi:type="dcterms:W3CDTF">2022-06-23T09:43:42Z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